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B" w:rsidRPr="001A2A2B" w:rsidRDefault="001A2A2B" w:rsidP="001A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2B">
        <w:rPr>
          <w:rFonts w:ascii="Times New Roman" w:hAnsi="Times New Roman" w:cs="Times New Roman"/>
          <w:b/>
          <w:sz w:val="28"/>
          <w:szCs w:val="28"/>
        </w:rPr>
        <w:t>ОБЪЯВЛЕН ЕЖЕГОДНЫЙ ОБЛАСТНОЙ КОНКУРС</w:t>
      </w:r>
    </w:p>
    <w:p w:rsidR="001A2A2B" w:rsidRPr="001A2A2B" w:rsidRDefault="001A2A2B" w:rsidP="001A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2B">
        <w:rPr>
          <w:rFonts w:ascii="Times New Roman" w:hAnsi="Times New Roman" w:cs="Times New Roman"/>
          <w:b/>
          <w:sz w:val="28"/>
          <w:szCs w:val="28"/>
        </w:rPr>
        <w:t>«КОЛЛЕКТИВНЫЙ ДОГОВОР – ОСНОВА ЗАЩИТЫ СОЦИАЛЬНО-ТРУДОВЫХ ПРАВ ГРАЖДАН»</w:t>
      </w:r>
    </w:p>
    <w:p w:rsidR="001A2A2B" w:rsidRDefault="001A2A2B" w:rsidP="001A2A2B"/>
    <w:p w:rsidR="001A2A2B" w:rsidRDefault="001A2A2B" w:rsidP="001A2A2B">
      <w:pPr>
        <w:spacing w:after="0"/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Министерство занятости, труда и миграции области объявляет о начале  проведения тринадцатого конкурса «Коллективный договор – основа защиты социально-трудовых прав граждан».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К участию в конкурсе приглашаются организации всех организационно-правовых форм и форм собственности, зарегистрированные в установленном порядке и осуществляющие свою деятельность на территории области.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В 2016 году конкурс проводится по двум номинациям: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«Лучший коллективный договор в организациях производственной сферы» по трем группам участников конкурса в зависимости от среднесписочной численности работников: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1 группа - до 100 работников;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2 группа - от 100 до 500 работников;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3 группа - свыше 500 работников.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«Лучший коллективный договор в организациях непроизводственной сферы» по трем группам участников конкурса в зависимости от среднесписочной численности работников: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1 группа - до 20 работников;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2 группа - от 20 до 50 работников;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3 группа - свыше 50 работников.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Проведение первого этапа конкурса: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- среди организаций,  подведомственных органам исполнительной власти области (областных государственных автономных, казенных, бюджетных учреждений, государственных унитарных предприятий, акционерных обществ, некоммерческих организаций - фондов)  осуществляется органами исполнительной власти области;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- среди  муниципальных учреждений и организаций производственной сферы, кроме вышеуказанных организаций, осуществляется администрациями муниципальных районов (городских округов) области.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Конкурсные материалы победителей первого этапа конкурса в срок до 15 мая текущего года передаются в министерство занятости, труда и миграции области для участия во втором этапе конкурса.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Подведение итогов конкурса  состоится  в июне 2016 года.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 xml:space="preserve">С положением о конкурсе можно ознакомиться на сайте министерства занятости, труда и миграции области </w:t>
      </w:r>
      <w:proofErr w:type="spellStart"/>
      <w:r w:rsidRPr="001A2A2B">
        <w:rPr>
          <w:rFonts w:ascii="Times New Roman" w:hAnsi="Times New Roman" w:cs="Times New Roman"/>
          <w:sz w:val="24"/>
          <w:szCs w:val="24"/>
        </w:rPr>
        <w:t>www.zanas.saratov.gov.ru</w:t>
      </w:r>
      <w:proofErr w:type="spellEnd"/>
      <w:r w:rsidRPr="001A2A2B">
        <w:rPr>
          <w:rFonts w:ascii="Times New Roman" w:hAnsi="Times New Roman" w:cs="Times New Roman"/>
          <w:sz w:val="24"/>
          <w:szCs w:val="24"/>
        </w:rPr>
        <w:t xml:space="preserve"> в разделе «Конкурсы / Областной конкурс «Коллективный договор - основа защиты социально-трудовых прав граждан».</w:t>
      </w:r>
    </w:p>
    <w:p w:rsidR="001A2A2B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3A" w:rsidRPr="001A2A2B" w:rsidRDefault="001A2A2B" w:rsidP="001A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 xml:space="preserve">По вопросам участия обращаться в оргкомитет конкурса по адресу: </w:t>
      </w:r>
      <w:proofErr w:type="gramStart"/>
      <w:r w:rsidRPr="001A2A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2A2B">
        <w:rPr>
          <w:rFonts w:ascii="Times New Roman" w:hAnsi="Times New Roman" w:cs="Times New Roman"/>
          <w:sz w:val="24"/>
          <w:szCs w:val="24"/>
        </w:rPr>
        <w:t>. Саратов, ул. Слонова,13, комн. 26, (8452) 51-75-08.</w:t>
      </w:r>
    </w:p>
    <w:sectPr w:rsidR="007A313A" w:rsidRPr="001A2A2B" w:rsidSect="007A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2A2B"/>
    <w:rsid w:val="001A2A2B"/>
    <w:rsid w:val="00577CE3"/>
    <w:rsid w:val="007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2016-04-11T04:49:00Z</dcterms:created>
  <dcterms:modified xsi:type="dcterms:W3CDTF">2016-04-11T10:23:00Z</dcterms:modified>
</cp:coreProperties>
</file>